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A3621" w:rsidTr="006A3621">
        <w:tc>
          <w:tcPr>
            <w:tcW w:w="9576" w:type="dxa"/>
          </w:tcPr>
          <w:tbl>
            <w:tblPr>
              <w:tblW w:w="9000" w:type="dxa"/>
              <w:shd w:val="clear" w:color="auto" w:fill="FFFFFF"/>
              <w:tblCellMar>
                <w:left w:w="0" w:type="dxa"/>
                <w:right w:w="0" w:type="dxa"/>
              </w:tblCellMar>
              <w:tblLook w:val="04A0" w:firstRow="1" w:lastRow="0" w:firstColumn="1" w:lastColumn="0" w:noHBand="0" w:noVBand="1"/>
            </w:tblPr>
            <w:tblGrid>
              <w:gridCol w:w="9000"/>
            </w:tblGrid>
            <w:tr w:rsidR="006A3621" w:rsidRPr="006A3621" w:rsidTr="006A3621">
              <w:tc>
                <w:tcPr>
                  <w:tcW w:w="0" w:type="auto"/>
                  <w:shd w:val="clear" w:color="auto" w:fill="FFFFFF"/>
                  <w:vAlign w:val="center"/>
                  <w:hideMark/>
                </w:tcPr>
                <w:p w:rsidR="006A3621" w:rsidRPr="006A3621" w:rsidRDefault="006A3621" w:rsidP="006A3621">
                  <w:pPr>
                    <w:rPr>
                      <w:rFonts w:ascii="Calibri" w:eastAsia="Times New Roman" w:hAnsi="Calibri" w:cs="Times New Roman"/>
                      <w:sz w:val="27"/>
                      <w:szCs w:val="27"/>
                    </w:rPr>
                  </w:pPr>
                  <w:bookmarkStart w:id="0" w:name="_GoBack" w:colFirst="0" w:colLast="0"/>
                </w:p>
              </w:tc>
            </w:tr>
            <w:tr w:rsidR="006A3621" w:rsidRPr="006A3621" w:rsidTr="006A3621">
              <w:tc>
                <w:tcPr>
                  <w:tcW w:w="0" w:type="auto"/>
                  <w:shd w:val="clear" w:color="auto" w:fill="FFFFFF"/>
                  <w:tcMar>
                    <w:top w:w="225" w:type="dxa"/>
                    <w:left w:w="225" w:type="dxa"/>
                    <w:bottom w:w="300" w:type="dxa"/>
                    <w:right w:w="225" w:type="dxa"/>
                  </w:tcMar>
                  <w:hideMark/>
                </w:tcPr>
                <w:p w:rsidR="006A3621" w:rsidRPr="006A3621" w:rsidRDefault="006A3621" w:rsidP="006A3621">
                  <w:pPr>
                    <w:spacing w:line="375" w:lineRule="atLeast"/>
                    <w:rPr>
                      <w:rFonts w:ascii="Verdana" w:eastAsia="Times New Roman" w:hAnsi="Verdana" w:cs="Times New Roman"/>
                      <w:color w:val="666666"/>
                    </w:rPr>
                  </w:pPr>
                  <w:r>
                    <w:rPr>
                      <w:rFonts w:ascii="Verdana" w:eastAsia="Times New Roman" w:hAnsi="Verdana" w:cs="Times New Roman"/>
                      <w:noProof/>
                      <w:color w:val="666666"/>
                    </w:rPr>
                    <w:drawing>
                      <wp:anchor distT="0" distB="0" distL="0" distR="0" simplePos="0" relativeHeight="251658240" behindDoc="0" locked="0" layoutInCell="1" allowOverlap="0" wp14:anchorId="2FAF1480" wp14:editId="6AB22FDD">
                        <wp:simplePos x="0" y="0"/>
                        <wp:positionH relativeFrom="column">
                          <wp:align>left</wp:align>
                        </wp:positionH>
                        <wp:positionV relativeFrom="line">
                          <wp:posOffset>0</wp:posOffset>
                        </wp:positionV>
                        <wp:extent cx="1270000" cy="1524000"/>
                        <wp:effectExtent l="0" t="0" r="0" b="0"/>
                        <wp:wrapSquare wrapText="bothSides"/>
                        <wp:docPr id="2" name="Picture 2" descr="ogo-2017r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go-2017res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A3621" w:rsidRPr="006A3621" w:rsidTr="006A3621">
              <w:tc>
                <w:tcPr>
                  <w:tcW w:w="5000" w:type="pct"/>
                  <w:shd w:val="clear" w:color="auto" w:fill="FFFFFF"/>
                  <w:hideMark/>
                </w:tcPr>
                <w:tbl>
                  <w:tblPr>
                    <w:tblW w:w="0" w:type="auto"/>
                    <w:tblCellMar>
                      <w:top w:w="15" w:type="dxa"/>
                      <w:left w:w="15" w:type="dxa"/>
                      <w:bottom w:w="15" w:type="dxa"/>
                      <w:right w:w="15" w:type="dxa"/>
                    </w:tblCellMar>
                    <w:tblLook w:val="04A0" w:firstRow="1" w:lastRow="0" w:firstColumn="1" w:lastColumn="0" w:noHBand="0" w:noVBand="1"/>
                  </w:tblPr>
                  <w:tblGrid>
                    <w:gridCol w:w="9000"/>
                  </w:tblGrid>
                  <w:tr w:rsidR="006A3621" w:rsidRPr="006A3621">
                    <w:tc>
                      <w:tcPr>
                        <w:tcW w:w="16000" w:type="dxa"/>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970"/>
                        </w:tblGrid>
                        <w:tr w:rsidR="006A3621" w:rsidRPr="006A3621">
                          <w:tc>
                            <w:tcPr>
                              <w:tcW w:w="16000" w:type="dxa"/>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8940"/>
                              </w:tblGrid>
                              <w:tr w:rsidR="006A3621" w:rsidRPr="006A3621" w:rsidTr="006A3621">
                                <w:trPr>
                                  <w:jc w:val="center"/>
                                </w:trPr>
                                <w:tc>
                                  <w:tcPr>
                                    <w:tcW w:w="16000" w:type="dxa"/>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910"/>
                                    </w:tblGrid>
                                    <w:tr w:rsidR="006A3621" w:rsidRPr="006A3621">
                                      <w:tc>
                                        <w:tcPr>
                                          <w:tcW w:w="16000" w:type="dxa"/>
                                          <w:vAlign w:val="center"/>
                                          <w:hideMark/>
                                        </w:tcPr>
                                        <w:tbl>
                                          <w:tblPr>
                                            <w:tblW w:w="8880" w:type="dxa"/>
                                            <w:tblCellMar>
                                              <w:left w:w="0" w:type="dxa"/>
                                              <w:right w:w="0" w:type="dxa"/>
                                            </w:tblCellMar>
                                            <w:tblLook w:val="04A0" w:firstRow="1" w:lastRow="0" w:firstColumn="1" w:lastColumn="0" w:noHBand="0" w:noVBand="1"/>
                                          </w:tblPr>
                                          <w:tblGrid>
                                            <w:gridCol w:w="8880"/>
                                          </w:tblGrid>
                                          <w:tr w:rsidR="006A3621" w:rsidRPr="006A3621">
                                            <w:tc>
                                              <w:tcPr>
                                                <w:tcW w:w="0" w:type="auto"/>
                                                <w:shd w:val="clear" w:color="auto" w:fill="FFFFFF"/>
                                                <w:vAlign w:val="center"/>
                                                <w:hideMark/>
                                              </w:tcPr>
                                              <w:p w:rsidR="006A3621" w:rsidRPr="006A3621" w:rsidRDefault="006A3621" w:rsidP="006A3621">
                                                <w:pPr>
                                                  <w:rPr>
                                                    <w:rFonts w:ascii="Calibri" w:eastAsia="Times New Roman" w:hAnsi="Calibri" w:cs="Times New Roman"/>
                                                    <w:sz w:val="27"/>
                                                    <w:szCs w:val="27"/>
                                                  </w:rPr>
                                                </w:pPr>
                                              </w:p>
                                            </w:tc>
                                          </w:tr>
                                        </w:tbl>
                                        <w:p w:rsidR="006A3621" w:rsidRPr="006A3621" w:rsidRDefault="006A3621" w:rsidP="006A3621">
                                          <w:pPr>
                                            <w:rPr>
                                              <w:rFonts w:ascii="Calibri" w:eastAsia="Times New Roman" w:hAnsi="Calibri" w:cs="Times New Roman"/>
                                              <w:vanish/>
                                              <w:sz w:val="27"/>
                                              <w:szCs w:val="27"/>
                                            </w:rPr>
                                          </w:pPr>
                                        </w:p>
                                        <w:tbl>
                                          <w:tblPr>
                                            <w:tblW w:w="8880" w:type="dxa"/>
                                            <w:jc w:val="center"/>
                                            <w:tblCellMar>
                                              <w:top w:w="200" w:type="dxa"/>
                                              <w:left w:w="200" w:type="dxa"/>
                                              <w:bottom w:w="200" w:type="dxa"/>
                                              <w:right w:w="200" w:type="dxa"/>
                                            </w:tblCellMar>
                                            <w:tblLook w:val="04A0" w:firstRow="1" w:lastRow="0" w:firstColumn="1" w:lastColumn="0" w:noHBand="0" w:noVBand="1"/>
                                          </w:tblPr>
                                          <w:tblGrid>
                                            <w:gridCol w:w="8880"/>
                                          </w:tblGrid>
                                          <w:tr w:rsidR="006A3621" w:rsidRPr="006A3621">
                                            <w:trPr>
                                              <w:jc w:val="center"/>
                                            </w:trPr>
                                            <w:tc>
                                              <w:tcPr>
                                                <w:tcW w:w="0" w:type="auto"/>
                                                <w:tcBorders>
                                                  <w:top w:val="single" w:sz="6" w:space="0" w:color="DDDDDD"/>
                                                </w:tcBorders>
                                                <w:shd w:val="clear" w:color="auto" w:fill="CCCCCC"/>
                                                <w:tcMar>
                                                  <w:top w:w="225" w:type="dxa"/>
                                                  <w:left w:w="225" w:type="dxa"/>
                                                  <w:bottom w:w="300" w:type="dxa"/>
                                                  <w:right w:w="225" w:type="dxa"/>
                                                </w:tcMar>
                                                <w:vAlign w:val="center"/>
                                                <w:hideMark/>
                                              </w:tcPr>
                                              <w:p w:rsidR="006A3621" w:rsidRPr="006A3621" w:rsidRDefault="006A3621" w:rsidP="006A3621">
                                                <w:pPr>
                                                  <w:spacing w:before="120" w:after="120" w:line="375" w:lineRule="atLeast"/>
                                                  <w:rPr>
                                                    <w:rFonts w:ascii="Calibri" w:hAnsi="Calibri" w:cs="Times New Roman"/>
                                                    <w:color w:val="FFFFFF"/>
                                                  </w:rPr>
                                                </w:pPr>
                                                <w:r w:rsidRPr="006A3621">
                                                  <w:rPr>
                                                    <w:rFonts w:ascii="Calibri" w:hAnsi="Calibri" w:cs="Times New Roman"/>
                                                    <w:b/>
                                                    <w:bCs/>
                                                    <w:i/>
                                                    <w:iCs/>
                                                    <w:color w:val="FFFFFF"/>
                                                  </w:rPr>
                                                  <w:t>October 20, 2020</w:t>
                                                </w:r>
                                              </w:p>
                                              <w:p w:rsidR="006A3621" w:rsidRPr="006A3621" w:rsidRDefault="006A3621" w:rsidP="006A3621">
                                                <w:pPr>
                                                  <w:spacing w:before="120" w:after="120" w:line="375" w:lineRule="atLeast"/>
                                                  <w:rPr>
                                                    <w:rFonts w:ascii="Calibri" w:hAnsi="Calibri" w:cs="Times New Roman"/>
                                                    <w:color w:val="FFFFFF"/>
                                                  </w:rPr>
                                                </w:pPr>
                                                <w:r w:rsidRPr="006A3621">
                                                  <w:rPr>
                                                    <w:rFonts w:ascii="Calibri" w:hAnsi="Calibri" w:cs="Times New Roman"/>
                                                    <w:b/>
                                                    <w:bCs/>
                                                    <w:i/>
                                                    <w:iCs/>
                                                    <w:color w:val="FFFFFF"/>
                                                  </w:rPr>
                                                  <w:t>This message is being sent to all members of the Central Texas Food Bank Partner Agency network.</w:t>
                                                </w:r>
                                              </w:p>
                                            </w:tc>
                                          </w:tr>
                                          <w:tr w:rsidR="006A3621" w:rsidRPr="006A3621">
                                            <w:trPr>
                                              <w:jc w:val="center"/>
                                            </w:trPr>
                                            <w:tc>
                                              <w:tcPr>
                                                <w:tcW w:w="0" w:type="auto"/>
                                                <w:tcBorders>
                                                  <w:top w:val="single" w:sz="6" w:space="0" w:color="DDDDDD"/>
                                                </w:tcBorders>
                                                <w:tcMar>
                                                  <w:top w:w="225" w:type="dxa"/>
                                                  <w:left w:w="225" w:type="dxa"/>
                                                  <w:bottom w:w="300" w:type="dxa"/>
                                                  <w:right w:w="225" w:type="dxa"/>
                                                </w:tcMar>
                                                <w:vAlign w:val="center"/>
                                                <w:hideMark/>
                                              </w:tcPr>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u w:val="single"/>
                                                  </w:rPr>
                                                  <w:t>Special Announcement</w:t>
                                                </w:r>
                                                <w:r w:rsidRPr="006A3621">
                                                  <w:rPr>
                                                    <w:rFonts w:ascii="Calibri" w:hAnsi="Calibri" w:cs="Times New Roman"/>
                                                    <w:b/>
                                                    <w:bCs/>
                                                    <w:color w:val="666666"/>
                                                  </w:rPr>
                                                  <w:br/>
                                                  <w:t>September Handling Fee Announcement</w:t>
                                                </w:r>
                                                <w:r w:rsidRPr="006A3621">
                                                  <w:rPr>
                                                    <w:rFonts w:ascii="Calibri" w:hAnsi="Calibri" w:cs="Times New Roman"/>
                                                    <w:color w:val="666666"/>
                                                  </w:rPr>
                                                  <w:br/>
                                                  <w:t>We are pleased to announce that we are, again, able to offer partial credits to all partners for the handling fees that were spent in September. A 10% credit for handling fees spent last month has been credited to your account. Thank you again for all of your hard work! We hope this extra support helps to ensure you can maximize your resources and continue to get the inventory you need to serve the community.</w:t>
                                                </w:r>
                                              </w:p>
                                            </w:tc>
                                          </w:tr>
                                          <w:tr w:rsidR="006A3621" w:rsidRPr="006A3621">
                                            <w:trPr>
                                              <w:jc w:val="center"/>
                                            </w:trPr>
                                            <w:tc>
                                              <w:tcPr>
                                                <w:tcW w:w="0" w:type="auto"/>
                                                <w:tcBorders>
                                                  <w:top w:val="single" w:sz="6" w:space="0" w:color="DDDDDD"/>
                                                </w:tcBorders>
                                                <w:tcMar>
                                                  <w:top w:w="225" w:type="dxa"/>
                                                  <w:left w:w="225" w:type="dxa"/>
                                                  <w:bottom w:w="300" w:type="dxa"/>
                                                  <w:right w:w="225" w:type="dxa"/>
                                                </w:tcMar>
                                                <w:vAlign w:val="center"/>
                                                <w:hideMark/>
                                              </w:tcPr>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u w:val="single"/>
                                                  </w:rPr>
                                                  <w:t>Partner Resources:</w:t>
                                                </w:r>
                                                <w:r w:rsidRPr="006A3621">
                                                  <w:rPr>
                                                    <w:rFonts w:ascii="Calibri" w:hAnsi="Calibri" w:cs="Times New Roman"/>
                                                    <w:b/>
                                                    <w:bCs/>
                                                    <w:color w:val="666666"/>
                                                    <w:u w:val="single"/>
                                                  </w:rPr>
                                                  <w:br/>
                                                  <w:t>TEFAP Updates</w:t>
                                                </w:r>
                                                <w:r w:rsidRPr="006A3621">
                                                  <w:rPr>
                                                    <w:rFonts w:ascii="Calibri" w:hAnsi="Calibri" w:cs="Times New Roman"/>
                                                    <w:b/>
                                                    <w:bCs/>
                                                    <w:color w:val="666666"/>
                                                    <w:u w:val="single"/>
                                                  </w:rPr>
                                                  <w:br/>
                                                </w:r>
                                                <w:r w:rsidRPr="006A3621">
                                                  <w:rPr>
                                                    <w:rFonts w:ascii="Calibri" w:hAnsi="Calibri" w:cs="Times New Roman"/>
                                                    <w:b/>
                                                    <w:bCs/>
                                                    <w:color w:val="666666"/>
                                                  </w:rPr>
                                                  <w:t>Signature Waiver Extended</w:t>
                                                </w:r>
                                                <w:r w:rsidRPr="006A3621">
                                                  <w:rPr>
                                                    <w:rFonts w:ascii="Calibri" w:hAnsi="Calibri" w:cs="Times New Roman"/>
                                                    <w:color w:val="666666"/>
                                                  </w:rPr>
                                                  <w:br/>
                                                  <w:t>The TDA waiver to remove the required signatures from participants/proxies on TEFAP intake forms has been extended through December, 31, 2020. Agencies must still obtain federally required intake criteria to properly determine and document eligibility. Please see the revised temporary intake form linked on the Agencies section of our website </w:t>
                                                </w:r>
                                                <w:r w:rsidRPr="006A3621">
                                                  <w:rPr>
                                                    <w:rFonts w:ascii="Calibri" w:hAnsi="Calibri" w:cs="Times New Roman"/>
                                                    <w:b/>
                                                    <w:bCs/>
                                                    <w:color w:val="666666"/>
                                                  </w:rPr>
                                                  <w:fldChar w:fldCharType="begin"/>
                                                </w:r>
                                                <w:r w:rsidRPr="006A3621">
                                                  <w:rPr>
                                                    <w:rFonts w:ascii="Calibri" w:hAnsi="Calibri" w:cs="Times New Roman"/>
                                                    <w:b/>
                                                    <w:bCs/>
                                                    <w:color w:val="666666"/>
                                                  </w:rPr>
                                                  <w:instrText xml:space="preserve"> HYPERLINK "https://www.centraltexasfoodbank.org/media/365/" \o "Temporary Intake Form" \t "_blank" </w:instrText>
                                                </w:r>
                                                <w:r w:rsidRPr="006A3621">
                                                  <w:rPr>
                                                    <w:rFonts w:ascii="Calibri" w:hAnsi="Calibri" w:cs="Times New Roman"/>
                                                    <w:b/>
                                                    <w:bCs/>
                                                    <w:color w:val="666666"/>
                                                  </w:rPr>
                                                </w:r>
                                                <w:r w:rsidRPr="006A3621">
                                                  <w:rPr>
                                                    <w:rFonts w:ascii="Calibri" w:hAnsi="Calibri" w:cs="Times New Roman"/>
                                                    <w:b/>
                                                    <w:bCs/>
                                                    <w:color w:val="666666"/>
                                                  </w:rPr>
                                                  <w:fldChar w:fldCharType="separate"/>
                                                </w:r>
                                                <w:r w:rsidRPr="006A3621">
                                                  <w:rPr>
                                                    <w:rFonts w:ascii="Calibri" w:hAnsi="Calibri" w:cs="Times New Roman"/>
                                                    <w:b/>
                                                    <w:bCs/>
                                                    <w:color w:val="0000FF"/>
                                                    <w:u w:val="single"/>
                                                  </w:rPr>
                                                  <w:t>here.</w:t>
                                                </w:r>
                                                <w:r w:rsidRPr="006A3621">
                                                  <w:rPr>
                                                    <w:rFonts w:ascii="Calibri" w:hAnsi="Calibri" w:cs="Times New Roman"/>
                                                    <w:b/>
                                                    <w:bCs/>
                                                    <w:color w:val="666666"/>
                                                  </w:rPr>
                                                  <w:fldChar w:fldCharType="end"/>
                                                </w:r>
                                                <w:r w:rsidRPr="006A3621">
                                                  <w:rPr>
                                                    <w:rFonts w:ascii="Calibri" w:hAnsi="Calibri" w:cs="Times New Roman"/>
                                                    <w:color w:val="666666"/>
                                                  </w:rPr>
                                                  <w:t xml:space="preserve"> (Note: This applies to both the 2020-21 USDA Intake </w:t>
                                                </w:r>
                                                <w:r w:rsidRPr="006A3621">
                                                  <w:rPr>
                                                    <w:rFonts w:ascii="Calibri" w:hAnsi="Calibri" w:cs="Times New Roman"/>
                                                    <w:color w:val="666666"/>
                                                  </w:rPr>
                                                  <w:lastRenderedPageBreak/>
                                                  <w:t>Form and the Temporary COVID-19 intake form. Because you do not need to collect signatures through the end of the year, you can call clients and fill out the form for them over the phone if you would like.)</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color w:val="666666"/>
                                                  </w:rPr>
                                                  <w:t>Please ensure to determine eligibility based on categorical and/or income first. If the participant does not qualify from those two, please utilize the household crisis option and document the reason: lost job, furloughed/laid off, etc. If you have any questions regarding the intake process or TEFAP eligibility, please reach out to your relationship manager.</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u w:val="single"/>
                                                  </w:rPr>
                                                  <w:t>Holiday Intake &amp; Reporting</w:t>
                                                </w:r>
                                                <w:r w:rsidRPr="006A3621">
                                                  <w:rPr>
                                                    <w:rFonts w:ascii="Calibri" w:hAnsi="Calibri" w:cs="Times New Roman"/>
                                                    <w:color w:val="666666"/>
                                                  </w:rPr>
                                                  <w:br/>
                                                  <w:t>As the holidays approach, your agency may be planning special food distributions. Remember that the same intake and reporting procedures apply to holiday assistance as to regular services. Not sure how to track that holiday assistance? Check these FAQs below:</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rPr>
                                                  <w:t>How do I report a distribution where clients received both regular groceries and extra holiday food?</w:t>
                                                </w:r>
                                                <w:r w:rsidRPr="006A3621">
                                                  <w:rPr>
                                                    <w:rFonts w:ascii="Calibri" w:hAnsi="Calibri" w:cs="Times New Roman"/>
                                                    <w:color w:val="666666"/>
                                                  </w:rPr>
                                                  <w:br/>
                                                  <w:t>Have your clients sign in as usual, and report the number of households as usual. You do not need to make adjustments such as doubling household counts to reflect the extra food each household received. Poundage totals will reflect the extra holiday food.</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rPr>
                                                  <w:t>How do I report a special distribution of holiday foods that is separate from our regular distribution?</w:t>
                                                </w:r>
                                                <w:r w:rsidRPr="006A3621">
                                                  <w:rPr>
                                                    <w:rFonts w:ascii="Calibri" w:hAnsi="Calibri" w:cs="Times New Roman"/>
                                                    <w:color w:val="666666"/>
                                                  </w:rPr>
                                                  <w:br/>
                                                  <w:t>Have clients sign in as though they were at a regular distribution, and include totals from this distribution in your usual Partner Agency Monthly Report. You do not need to differentiate regular vs. holiday services in your report. Remember to count a household as “new” only if they have never gotten food from your agency before. Count a household in your report once for each distribution when they receive food from your agency, regardless of how much food you provide.</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rPr>
                                                  <w:t>How do I report holiday poundage?</w:t>
                                                </w:r>
                                                <w:r w:rsidRPr="006A3621">
                                                  <w:rPr>
                                                    <w:rFonts w:ascii="Calibri" w:hAnsi="Calibri" w:cs="Times New Roman"/>
                                                    <w:color w:val="666666"/>
                                                  </w:rPr>
                                                  <w:br/>
                                                  <w:t>Holiday poundage works just like regular poundage. Central Texas Food Bank records will reflect any extra pounds of food you ordered from us. Please report any food you sourced elsewhere as “Pounds of food received this month from sources other than the Food Bank” in the Pantry Agency Monthly Report.</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rPr>
                                                  <w:t>My agency normally does not provide meals, but we will be serving a holiday meal. My agency normally does not provide groceries, but we will be providing holiday groceries. How should we report it?</w:t>
                                                </w:r>
                                                <w:r w:rsidRPr="006A3621">
                                                  <w:rPr>
                                                    <w:rFonts w:ascii="Calibri" w:hAnsi="Calibri" w:cs="Times New Roman"/>
                                                    <w:color w:val="666666"/>
                                                  </w:rPr>
                                                  <w:br/>
                                                  <w:t>The Central Texas Food Bank tracks groceries and meals separately. There are training requirements for serving meals, and different intake and reporting processes for serving groceries. Questions: Please reach out to your relationship manager.</w:t>
                                                </w:r>
                                              </w:p>
                                            </w:tc>
                                          </w:tr>
                                          <w:tr w:rsidR="006A3621" w:rsidRPr="006A3621">
                                            <w:trPr>
                                              <w:jc w:val="center"/>
                                            </w:trPr>
                                            <w:tc>
                                              <w:tcPr>
                                                <w:tcW w:w="0" w:type="auto"/>
                                                <w:tcBorders>
                                                  <w:top w:val="single" w:sz="6" w:space="0" w:color="DDDDDD"/>
                                                </w:tcBorders>
                                                <w:tcMar>
                                                  <w:top w:w="225" w:type="dxa"/>
                                                  <w:left w:w="225" w:type="dxa"/>
                                                  <w:bottom w:w="300" w:type="dxa"/>
                                                  <w:right w:w="225" w:type="dxa"/>
                                                </w:tcMar>
                                                <w:vAlign w:val="center"/>
                                                <w:hideMark/>
                                              </w:tcPr>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u w:val="single"/>
                                                  </w:rPr>
                                                  <w:lastRenderedPageBreak/>
                                                  <w:t>Reminder: Complete the 2020 Network Survey</w:t>
                                                </w:r>
                                                <w:r w:rsidRPr="006A3621">
                                                  <w:rPr>
                                                    <w:rFonts w:ascii="Calibri" w:hAnsi="Calibri" w:cs="Times New Roman"/>
                                                    <w:b/>
                                                    <w:bCs/>
                                                    <w:color w:val="666666"/>
                                                  </w:rPr>
                                                  <w:br/>
                                                  <w:t xml:space="preserve">Please make sure to complete the 2020 Network Survey! Your agency should have received </w:t>
                                                </w:r>
                                                <w:proofErr w:type="gramStart"/>
                                                <w:r w:rsidRPr="006A3621">
                                                  <w:rPr>
                                                    <w:rFonts w:ascii="Calibri" w:hAnsi="Calibri" w:cs="Times New Roman"/>
                                                    <w:b/>
                                                    <w:bCs/>
                                                    <w:color w:val="666666"/>
                                                  </w:rPr>
                                                  <w:t>an e</w:t>
                                                </w:r>
                                                <w:proofErr w:type="gramEnd"/>
                                                <w:r w:rsidRPr="006A3621">
                                                  <w:rPr>
                                                    <w:rFonts w:ascii="Calibri" w:hAnsi="Calibri" w:cs="Times New Roman"/>
                                                    <w:b/>
                                                    <w:bCs/>
                                                    <w:color w:val="666666"/>
                                                  </w:rPr>
                                                  <w:t xml:space="preserve">-mail with instructions and a link to access the survey. Each agency needs to submit the survey only </w:t>
                                                </w:r>
                                                <w:proofErr w:type="gramStart"/>
                                                <w:r w:rsidRPr="006A3621">
                                                  <w:rPr>
                                                    <w:rFonts w:ascii="Calibri" w:hAnsi="Calibri" w:cs="Times New Roman"/>
                                                    <w:b/>
                                                    <w:bCs/>
                                                    <w:color w:val="666666"/>
                                                  </w:rPr>
                                                  <w:t>once,</w:t>
                                                </w:r>
                                                <w:proofErr w:type="gramEnd"/>
                                                <w:r w:rsidRPr="006A3621">
                                                  <w:rPr>
                                                    <w:rFonts w:ascii="Calibri" w:hAnsi="Calibri" w:cs="Times New Roman"/>
                                                    <w:b/>
                                                    <w:bCs/>
                                                    <w:color w:val="666666"/>
                                                  </w:rPr>
                                                  <w:t xml:space="preserve"> although multiple staff members may collaborate to make sure that the information provided is complete and accurate. </w:t>
                                                </w:r>
                                                <w:r w:rsidRPr="006A3621">
                                                  <w:rPr>
                                                    <w:rFonts w:ascii="Calibri" w:hAnsi="Calibri" w:cs="Times New Roman"/>
                                                    <w:b/>
                                                    <w:bCs/>
                                                    <w:i/>
                                                    <w:iCs/>
                                                    <w:color w:val="666666"/>
                                                  </w:rPr>
                                                  <w:t>The survey is required for all agencies, and partners will receive an incentive for completing it. The deadline to complete the survey is Friday, October 23.</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color w:val="666666"/>
                                                  </w:rPr>
                                                  <w:t>The purpose of the Network Survey is to gather updated information about partner operations, how we are serving clients, and additional support partners may need. The survey will also inform planning for the Service Insights Initiative. The goal of this initiative is to improve our services and better meet the needs of our clients, using administrative client data to better understand how much of the hunger need we are meeting and make strategic decisions about where and how we provide services.</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color w:val="666666"/>
                                                  </w:rPr>
                                                  <w:t>For questions about the 2020 Network Survey or the Service Insights Initiative, please reach out to Sam Night, Client Insights Project Manager, at </w:t>
                                                </w:r>
                                                <w:r w:rsidRPr="006A3621">
                                                  <w:rPr>
                                                    <w:rFonts w:ascii="Calibri" w:hAnsi="Calibri" w:cs="Times New Roman"/>
                                                    <w:color w:val="666666"/>
                                                  </w:rPr>
                                                  <w:fldChar w:fldCharType="begin"/>
                                                </w:r>
                                                <w:r w:rsidRPr="006A3621">
                                                  <w:rPr>
                                                    <w:rFonts w:ascii="Calibri" w:hAnsi="Calibri" w:cs="Times New Roman"/>
                                                    <w:color w:val="666666"/>
                                                  </w:rPr>
                                                  <w:instrText xml:space="preserve"> HYPERLINK "mailto:snight@centraltexasfoodbank.org" \o "Email Sam Night" \t "_blank" </w:instrText>
                                                </w:r>
                                                <w:r w:rsidRPr="006A3621">
                                                  <w:rPr>
                                                    <w:rFonts w:ascii="Calibri" w:hAnsi="Calibri" w:cs="Times New Roman"/>
                                                    <w:color w:val="666666"/>
                                                  </w:rPr>
                                                </w:r>
                                                <w:r w:rsidRPr="006A3621">
                                                  <w:rPr>
                                                    <w:rFonts w:ascii="Calibri" w:hAnsi="Calibri" w:cs="Times New Roman"/>
                                                    <w:color w:val="666666"/>
                                                  </w:rPr>
                                                  <w:fldChar w:fldCharType="separate"/>
                                                </w:r>
                                                <w:r w:rsidRPr="006A3621">
                                                  <w:rPr>
                                                    <w:rFonts w:ascii="Calibri" w:hAnsi="Calibri" w:cs="Times New Roman"/>
                                                    <w:color w:val="0000FF"/>
                                                    <w:u w:val="single"/>
                                                  </w:rPr>
                                                  <w:t>snight@centraltexasfoodbank.org</w:t>
                                                </w:r>
                                                <w:r w:rsidRPr="006A3621">
                                                  <w:rPr>
                                                    <w:rFonts w:ascii="Calibri" w:hAnsi="Calibri" w:cs="Times New Roman"/>
                                                    <w:color w:val="666666"/>
                                                  </w:rPr>
                                                  <w:fldChar w:fldCharType="end"/>
                                                </w:r>
                                                <w:r w:rsidRPr="006A3621">
                                                  <w:rPr>
                                                    <w:rFonts w:ascii="Calibri" w:hAnsi="Calibri" w:cs="Times New Roman"/>
                                                    <w:color w:val="666666"/>
                                                  </w:rPr>
                                                  <w:t>.</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b/>
                                                    <w:bCs/>
                                                    <w:color w:val="666666"/>
                                                    <w:u w:val="single"/>
                                                  </w:rPr>
                                                  <w:t>General Reminders</w:t>
                                                </w:r>
                                                <w:r w:rsidRPr="006A3621">
                                                  <w:rPr>
                                                    <w:rFonts w:ascii="Calibri" w:hAnsi="Calibri" w:cs="Times New Roman"/>
                                                    <w:b/>
                                                    <w:bCs/>
                                                    <w:color w:val="666666"/>
                                                  </w:rPr>
                                                  <w:br/>
                                                  <w:t>We want to know if your distribution has changed (or is going to change) due to COVID-19. If you’re closing, re-opening, adjusting hours, or modifying your distribution model, please reach out to your Agency Relations Specialist with that updated information or share it via email at </w:t>
                                                </w:r>
                                                <w:r w:rsidRPr="006A3621">
                                                  <w:rPr>
                                                    <w:rFonts w:ascii="Calibri" w:hAnsi="Calibri" w:cs="Times New Roman"/>
                                                    <w:b/>
                                                    <w:bCs/>
                                                    <w:color w:val="666666"/>
                                                  </w:rPr>
                                                  <w:fldChar w:fldCharType="begin"/>
                                                </w:r>
                                                <w:r w:rsidRPr="006A3621">
                                                  <w:rPr>
                                                    <w:rFonts w:ascii="Calibri" w:hAnsi="Calibri" w:cs="Times New Roman"/>
                                                    <w:b/>
                                                    <w:bCs/>
                                                    <w:color w:val="666666"/>
                                                  </w:rPr>
                                                  <w:instrText xml:space="preserve"> HYPERLINK "mailto:agencies@centraltexasfoodbank.org" \o "Email Us" \t "_blank" </w:instrText>
                                                </w:r>
                                                <w:r w:rsidRPr="006A3621">
                                                  <w:rPr>
                                                    <w:rFonts w:ascii="Calibri" w:hAnsi="Calibri" w:cs="Times New Roman"/>
                                                    <w:b/>
                                                    <w:bCs/>
                                                    <w:color w:val="666666"/>
                                                  </w:rPr>
                                                </w:r>
                                                <w:r w:rsidRPr="006A3621">
                                                  <w:rPr>
                                                    <w:rFonts w:ascii="Calibri" w:hAnsi="Calibri" w:cs="Times New Roman"/>
                                                    <w:b/>
                                                    <w:bCs/>
                                                    <w:color w:val="666666"/>
                                                  </w:rPr>
                                                  <w:fldChar w:fldCharType="separate"/>
                                                </w:r>
                                                <w:r w:rsidRPr="006A3621">
                                                  <w:rPr>
                                                    <w:rFonts w:ascii="Calibri" w:hAnsi="Calibri" w:cs="Times New Roman"/>
                                                    <w:b/>
                                                    <w:bCs/>
                                                    <w:color w:val="0000FF"/>
                                                    <w:u w:val="single"/>
                                                  </w:rPr>
                                                  <w:t>agencies@centraltexasfoodbank.org</w:t>
                                                </w:r>
                                                <w:r w:rsidRPr="006A3621">
                                                  <w:rPr>
                                                    <w:rFonts w:ascii="Calibri" w:hAnsi="Calibri" w:cs="Times New Roman"/>
                                                    <w:b/>
                                                    <w:bCs/>
                                                    <w:color w:val="666666"/>
                                                  </w:rPr>
                                                  <w:fldChar w:fldCharType="end"/>
                                                </w:r>
                                                <w:r w:rsidRPr="006A3621">
                                                  <w:rPr>
                                                    <w:rFonts w:ascii="Calibri" w:hAnsi="Calibri" w:cs="Times New Roman"/>
                                                    <w:b/>
                                                    <w:bCs/>
                                                    <w:color w:val="666666"/>
                                                  </w:rPr>
                                                  <w:t> or our partner agency hotline by calling (512) 684-2503.</w:t>
                                                </w:r>
                                              </w:p>
                                              <w:p w:rsidR="006A3621" w:rsidRPr="006A3621" w:rsidRDefault="006A3621" w:rsidP="006A3621">
                                                <w:pPr>
                                                  <w:spacing w:before="120" w:after="120" w:line="375" w:lineRule="atLeast"/>
                                                  <w:rPr>
                                                    <w:rFonts w:ascii="Calibri" w:hAnsi="Calibri" w:cs="Times New Roman"/>
                                                    <w:color w:val="666666"/>
                                                  </w:rPr>
                                                </w:pPr>
                                                <w:r w:rsidRPr="006A3621">
                                                  <w:rPr>
                                                    <w:rFonts w:ascii="Calibri" w:hAnsi="Calibri" w:cs="Times New Roman"/>
                                                    <w:color w:val="666666"/>
                                                  </w:rPr>
                                                  <w:t>Remember, we will be sharing COVID-19 resources for partners and our most updated communications on our website here: </w:t>
                                                </w:r>
                                                <w:r w:rsidRPr="006A3621">
                                                  <w:rPr>
                                                    <w:rFonts w:ascii="Calibri" w:hAnsi="Calibri" w:cs="Times New Roman"/>
                                                    <w:color w:val="666666"/>
                                                  </w:rPr>
                                                  <w:fldChar w:fldCharType="begin"/>
                                                </w:r>
                                                <w:r w:rsidRPr="006A3621">
                                                  <w:rPr>
                                                    <w:rFonts w:ascii="Calibri" w:hAnsi="Calibri" w:cs="Times New Roman"/>
                                                    <w:color w:val="666666"/>
                                                  </w:rPr>
                                                  <w:instrText xml:space="preserve"> HYPERLINK "https://www.centraltexasfoodbank.org/agencies" \o "Visit our website for updated Partner communications." \t "_blank" </w:instrText>
                                                </w:r>
                                                <w:r w:rsidRPr="006A3621">
                                                  <w:rPr>
                                                    <w:rFonts w:ascii="Calibri" w:hAnsi="Calibri" w:cs="Times New Roman"/>
                                                    <w:color w:val="666666"/>
                                                  </w:rPr>
                                                </w:r>
                                                <w:r w:rsidRPr="006A3621">
                                                  <w:rPr>
                                                    <w:rFonts w:ascii="Calibri" w:hAnsi="Calibri" w:cs="Times New Roman"/>
                                                    <w:color w:val="666666"/>
                                                  </w:rPr>
                                                  <w:fldChar w:fldCharType="separate"/>
                                                </w:r>
                                                <w:r w:rsidRPr="006A3621">
                                                  <w:rPr>
                                                    <w:rFonts w:ascii="Calibri" w:hAnsi="Calibri" w:cs="Times New Roman"/>
                                                    <w:color w:val="0000FF"/>
                                                    <w:u w:val="single"/>
                                                  </w:rPr>
                                                  <w:t>https://www.centraltexasfoodbank.org/agencies</w:t>
                                                </w:r>
                                                <w:r w:rsidRPr="006A3621">
                                                  <w:rPr>
                                                    <w:rFonts w:ascii="Calibri" w:hAnsi="Calibri" w:cs="Times New Roman"/>
                                                    <w:color w:val="666666"/>
                                                  </w:rPr>
                                                  <w:fldChar w:fldCharType="end"/>
                                                </w:r>
                                              </w:p>
                                            </w:tc>
                                          </w:tr>
                                        </w:tbl>
                                        <w:p w:rsidR="006A3621" w:rsidRPr="006A3621" w:rsidRDefault="006A3621" w:rsidP="006A3621">
                                          <w:pPr>
                                            <w:rPr>
                                              <w:rFonts w:ascii="Calibri" w:eastAsia="Times New Roman" w:hAnsi="Calibri" w:cs="Times New Roman"/>
                                              <w:sz w:val="27"/>
                                              <w:szCs w:val="27"/>
                                            </w:rPr>
                                          </w:pPr>
                                        </w:p>
                                      </w:tc>
                                    </w:tr>
                                  </w:tbl>
                                  <w:p w:rsidR="006A3621" w:rsidRPr="006A3621" w:rsidRDefault="006A3621" w:rsidP="006A3621">
                                    <w:pPr>
                                      <w:rPr>
                                        <w:rFonts w:ascii="Calibri" w:eastAsia="Times New Roman" w:hAnsi="Calibri" w:cs="Times New Roman"/>
                                        <w:sz w:val="27"/>
                                        <w:szCs w:val="27"/>
                                      </w:rPr>
                                    </w:pPr>
                                  </w:p>
                                </w:tc>
                              </w:tr>
                            </w:tbl>
                            <w:p w:rsidR="006A3621" w:rsidRPr="006A3621" w:rsidRDefault="006A3621" w:rsidP="006A3621">
                              <w:pPr>
                                <w:rPr>
                                  <w:rFonts w:ascii="Calibri" w:eastAsia="Times New Roman" w:hAnsi="Calibri" w:cs="Times New Roman"/>
                                  <w:sz w:val="27"/>
                                  <w:szCs w:val="27"/>
                                </w:rPr>
                              </w:pPr>
                            </w:p>
                          </w:tc>
                        </w:tr>
                      </w:tbl>
                      <w:p w:rsidR="006A3621" w:rsidRPr="006A3621" w:rsidRDefault="006A3621" w:rsidP="006A3621">
                        <w:pPr>
                          <w:rPr>
                            <w:rFonts w:ascii="Calibri" w:eastAsia="Times New Roman" w:hAnsi="Calibri" w:cs="Times New Roman"/>
                            <w:sz w:val="27"/>
                            <w:szCs w:val="27"/>
                          </w:rPr>
                        </w:pPr>
                      </w:p>
                    </w:tc>
                  </w:tr>
                </w:tbl>
                <w:p w:rsidR="006A3621" w:rsidRPr="006A3621" w:rsidRDefault="006A3621" w:rsidP="006A3621">
                  <w:pPr>
                    <w:rPr>
                      <w:rFonts w:ascii="Calibri" w:eastAsia="Times New Roman" w:hAnsi="Calibri" w:cs="Times New Roman"/>
                      <w:sz w:val="27"/>
                      <w:szCs w:val="27"/>
                    </w:rPr>
                  </w:pPr>
                </w:p>
              </w:tc>
            </w:tr>
            <w:tr w:rsidR="006A3621" w:rsidRPr="006A3621" w:rsidTr="006A3621">
              <w:tc>
                <w:tcPr>
                  <w:tcW w:w="0" w:type="auto"/>
                  <w:shd w:val="clear" w:color="auto" w:fill="CCCCCC"/>
                  <w:tcMar>
                    <w:top w:w="150" w:type="dxa"/>
                    <w:left w:w="375" w:type="dxa"/>
                    <w:bottom w:w="150" w:type="dxa"/>
                    <w:right w:w="375" w:type="dxa"/>
                  </w:tcMar>
                  <w:hideMark/>
                </w:tcPr>
                <w:p w:rsidR="006A3621" w:rsidRPr="006A3621" w:rsidRDefault="006A3621" w:rsidP="006A3621">
                  <w:pPr>
                    <w:spacing w:before="195" w:after="195"/>
                    <w:jc w:val="center"/>
                    <w:rPr>
                      <w:rFonts w:ascii="Calibri" w:hAnsi="Calibri" w:cs="Arial"/>
                      <w:color w:val="FFFFFF"/>
                      <w:sz w:val="27"/>
                      <w:szCs w:val="27"/>
                    </w:rPr>
                  </w:pPr>
                  <w:r w:rsidRPr="006A3621">
                    <w:rPr>
                      <w:rFonts w:ascii="Calibri" w:hAnsi="Calibri" w:cs="Arial"/>
                      <w:b/>
                      <w:bCs/>
                      <w:color w:val="FFFFFF"/>
                      <w:sz w:val="27"/>
                      <w:szCs w:val="27"/>
                    </w:rPr>
                    <w:lastRenderedPageBreak/>
                    <w:t>CONTACT THE TEAM</w:t>
                  </w:r>
                </w:p>
                <w:p w:rsidR="006A3621" w:rsidRPr="006A3621" w:rsidRDefault="006A3621" w:rsidP="006A3621">
                  <w:pPr>
                    <w:spacing w:before="195" w:after="195"/>
                    <w:jc w:val="center"/>
                    <w:rPr>
                      <w:rFonts w:ascii="Calibri" w:hAnsi="Calibri" w:cs="Arial"/>
                      <w:color w:val="FFFFFF"/>
                      <w:sz w:val="27"/>
                      <w:szCs w:val="27"/>
                    </w:rPr>
                  </w:pPr>
                  <w:r w:rsidRPr="006A3621">
                    <w:rPr>
                      <w:rFonts w:ascii="Calibri" w:hAnsi="Calibri" w:cs="Arial"/>
                      <w:color w:val="FFFFFF"/>
                      <w:sz w:val="27"/>
                      <w:szCs w:val="27"/>
                    </w:rPr>
                    <w:t>512.684.2503 | </w:t>
                  </w:r>
                  <w:r w:rsidRPr="006A3621">
                    <w:rPr>
                      <w:rFonts w:ascii="Calibri" w:hAnsi="Calibri" w:cs="Arial"/>
                      <w:color w:val="FFFFFF"/>
                      <w:sz w:val="27"/>
                      <w:szCs w:val="27"/>
                    </w:rPr>
                    <w:fldChar w:fldCharType="begin"/>
                  </w:r>
                  <w:r w:rsidRPr="006A3621">
                    <w:rPr>
                      <w:rFonts w:ascii="Calibri" w:hAnsi="Calibri" w:cs="Arial"/>
                      <w:color w:val="FFFFFF"/>
                      <w:sz w:val="27"/>
                      <w:szCs w:val="27"/>
                    </w:rPr>
                    <w:instrText xml:space="preserve"> HYPERLINK "mailto:agencies@centraltexasfoodbank.org" \o "email us;" \t "_blank" </w:instrText>
                  </w:r>
                  <w:r w:rsidRPr="006A3621">
                    <w:rPr>
                      <w:rFonts w:ascii="Calibri" w:hAnsi="Calibri" w:cs="Arial"/>
                      <w:color w:val="FFFFFF"/>
                      <w:sz w:val="27"/>
                      <w:szCs w:val="27"/>
                    </w:rPr>
                  </w:r>
                  <w:r w:rsidRPr="006A3621">
                    <w:rPr>
                      <w:rFonts w:ascii="Calibri" w:hAnsi="Calibri" w:cs="Arial"/>
                      <w:color w:val="FFFFFF"/>
                      <w:sz w:val="27"/>
                      <w:szCs w:val="27"/>
                    </w:rPr>
                    <w:fldChar w:fldCharType="separate"/>
                  </w:r>
                  <w:r w:rsidRPr="006A3621">
                    <w:rPr>
                      <w:rFonts w:ascii="Calibri" w:hAnsi="Calibri" w:cs="Arial"/>
                      <w:color w:val="FFFFFF"/>
                      <w:sz w:val="27"/>
                      <w:szCs w:val="27"/>
                      <w:u w:val="single"/>
                    </w:rPr>
                    <w:t>agencies@centraltexasfoodbank.org</w:t>
                  </w:r>
                  <w:r w:rsidRPr="006A3621">
                    <w:rPr>
                      <w:rFonts w:ascii="Calibri" w:hAnsi="Calibri" w:cs="Arial"/>
                      <w:color w:val="FFFFFF"/>
                      <w:sz w:val="27"/>
                      <w:szCs w:val="27"/>
                    </w:rPr>
                    <w:fldChar w:fldCharType="end"/>
                  </w:r>
                </w:p>
              </w:tc>
            </w:tr>
            <w:tr w:rsidR="006A3621" w:rsidRPr="006A3621" w:rsidTr="006A3621">
              <w:tc>
                <w:tcPr>
                  <w:tcW w:w="0" w:type="auto"/>
                  <w:shd w:val="clear" w:color="auto" w:fill="FFFFFF"/>
                  <w:tcMar>
                    <w:top w:w="150" w:type="dxa"/>
                    <w:left w:w="375" w:type="dxa"/>
                    <w:bottom w:w="150" w:type="dxa"/>
                    <w:right w:w="375" w:type="dxa"/>
                  </w:tcMar>
                  <w:hideMark/>
                </w:tcPr>
                <w:p w:rsidR="006A3621" w:rsidRPr="006A3621" w:rsidRDefault="006A3621" w:rsidP="006A3621">
                  <w:pPr>
                    <w:jc w:val="center"/>
                    <w:rPr>
                      <w:rFonts w:ascii="Arial" w:eastAsia="Times New Roman" w:hAnsi="Arial" w:cs="Arial"/>
                      <w:color w:val="83786F"/>
                      <w:sz w:val="15"/>
                      <w:szCs w:val="15"/>
                    </w:rPr>
                  </w:pPr>
                  <w:hyperlink r:id="rId7" w:tooltip="unsubscribe;" w:history="1">
                    <w:r w:rsidRPr="006A3621">
                      <w:rPr>
                        <w:rFonts w:ascii="Arial" w:eastAsia="Times New Roman" w:hAnsi="Arial" w:cs="Arial"/>
                        <w:color w:val="83786F"/>
                        <w:sz w:val="15"/>
                        <w:szCs w:val="15"/>
                        <w:u w:val="single"/>
                      </w:rPr>
                      <w:t>Unsubscribe</w:t>
                    </w:r>
                  </w:hyperlink>
                  <w:r w:rsidRPr="006A3621">
                    <w:rPr>
                      <w:rFonts w:ascii="Arial" w:eastAsia="Times New Roman" w:hAnsi="Arial" w:cs="Arial"/>
                      <w:color w:val="83786F"/>
                      <w:sz w:val="15"/>
                      <w:szCs w:val="15"/>
                    </w:rPr>
                    <w:t> | </w:t>
                  </w:r>
                  <w:hyperlink r:id="rId8" w:tooltip="forward to a friend;" w:history="1">
                    <w:r w:rsidRPr="006A3621">
                      <w:rPr>
                        <w:rFonts w:ascii="Arial" w:eastAsia="Times New Roman" w:hAnsi="Arial" w:cs="Arial"/>
                        <w:color w:val="83786F"/>
                        <w:sz w:val="15"/>
                        <w:szCs w:val="15"/>
                        <w:u w:val="single"/>
                      </w:rPr>
                      <w:t>Forward to a friend</w:t>
                    </w:r>
                  </w:hyperlink>
                  <w:r w:rsidRPr="006A3621">
                    <w:rPr>
                      <w:rFonts w:ascii="Arial" w:eastAsia="Times New Roman" w:hAnsi="Arial" w:cs="Arial"/>
                      <w:color w:val="83786F"/>
                      <w:sz w:val="15"/>
                      <w:szCs w:val="15"/>
                    </w:rPr>
                    <w:t> | </w:t>
                  </w:r>
                  <w:hyperlink r:id="rId9" w:tooltip="visit our website;" w:history="1">
                    <w:r w:rsidRPr="006A3621">
                      <w:rPr>
                        <w:rFonts w:ascii="Arial" w:eastAsia="Times New Roman" w:hAnsi="Arial" w:cs="Arial"/>
                        <w:color w:val="83786F"/>
                        <w:sz w:val="15"/>
                        <w:szCs w:val="15"/>
                        <w:u w:val="single"/>
                      </w:rPr>
                      <w:t>Visit our website</w:t>
                    </w:r>
                  </w:hyperlink>
                  <w:r w:rsidRPr="006A3621">
                    <w:rPr>
                      <w:rFonts w:ascii="Arial" w:eastAsia="Times New Roman" w:hAnsi="Arial" w:cs="Arial"/>
                      <w:color w:val="83786F"/>
                      <w:sz w:val="15"/>
                      <w:szCs w:val="15"/>
                    </w:rPr>
                    <w:br/>
                    <w:t>6500 Metropolis Drive, Austin, TX 78744</w:t>
                  </w:r>
                </w:p>
              </w:tc>
            </w:tr>
          </w:tbl>
          <w:p w:rsidR="006A3621" w:rsidRDefault="006A3621"/>
        </w:tc>
      </w:tr>
      <w:bookmarkEnd w:id="0"/>
    </w:tbl>
    <w:p w:rsidR="00ED210D" w:rsidRDefault="00ED210D"/>
    <w:sectPr w:rsidR="00ED210D" w:rsidSect="006A3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21"/>
    <w:rsid w:val="006A3621"/>
    <w:rsid w:val="00ED2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AB22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6356">
      <w:bodyDiv w:val="1"/>
      <w:marLeft w:val="0"/>
      <w:marRight w:val="0"/>
      <w:marTop w:val="0"/>
      <w:marBottom w:val="0"/>
      <w:divBdr>
        <w:top w:val="none" w:sz="0" w:space="0" w:color="auto"/>
        <w:left w:val="none" w:sz="0" w:space="0" w:color="auto"/>
        <w:bottom w:val="none" w:sz="0" w:space="0" w:color="auto"/>
        <w:right w:val="none" w:sz="0" w:space="0" w:color="auto"/>
      </w:divBdr>
      <w:divsChild>
        <w:div w:id="20347237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cafbtx.convio.net/site/CO" TargetMode="External"/><Relationship Id="rId8" Type="http://schemas.openxmlformats.org/officeDocument/2006/relationships/hyperlink" Target="http://cafbtx.convio.net/site/TellAFriend" TargetMode="External"/><Relationship Id="rId9" Type="http://schemas.openxmlformats.org/officeDocument/2006/relationships/hyperlink" Target="https://www.centraltexasfoodbank.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2457-AB04-EF4C-B897-3B3E42F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5346</Characters>
  <Application>Microsoft Macintosh Word</Application>
  <DocSecurity>0</DocSecurity>
  <Lines>44</Lines>
  <Paragraphs>12</Paragraphs>
  <ScaleCrop>false</ScaleCrop>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McCabe</dc:creator>
  <cp:keywords/>
  <dc:description/>
  <cp:lastModifiedBy>Brianna McCabe</cp:lastModifiedBy>
  <cp:revision>1</cp:revision>
  <dcterms:created xsi:type="dcterms:W3CDTF">2020-10-22T16:26:00Z</dcterms:created>
  <dcterms:modified xsi:type="dcterms:W3CDTF">2020-10-22T16:27:00Z</dcterms:modified>
</cp:coreProperties>
</file>